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AA54D" w14:textId="7440F5E6" w:rsidR="009C3B86" w:rsidRDefault="009C3B86" w:rsidP="009C3B86">
      <w:pPr>
        <w:pStyle w:val="xxmsonormal"/>
        <w:spacing w:before="0" w:beforeAutospacing="0" w:after="0" w:afterAutospacing="0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Oświadczenia Wykonawcy potwierdzające zgodność z zasadą DNSH</w:t>
      </w:r>
    </w:p>
    <w:p w14:paraId="7B265C0E" w14:textId="77777777" w:rsidR="009C3B86" w:rsidRDefault="009C3B86" w:rsidP="009C3B86">
      <w:pPr>
        <w:pStyle w:val="xxmsonormal"/>
        <w:spacing w:before="0" w:beforeAutospacing="0" w:after="0" w:afterAutospacing="0"/>
        <w:jc w:val="center"/>
        <w:rPr>
          <w:rFonts w:ascii="Calibri" w:hAnsi="Calibri" w:cs="Calibri"/>
          <w:b/>
        </w:rPr>
      </w:pPr>
    </w:p>
    <w:p w14:paraId="2CB44AD9" w14:textId="77777777" w:rsidR="009C3B86" w:rsidRDefault="009C3B86" w:rsidP="009C3B86">
      <w:pPr>
        <w:pStyle w:val="xxmsonormal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Wykonawca oświadcza</w:t>
      </w:r>
      <w:r>
        <w:rPr>
          <w:rFonts w:ascii="Calibri" w:hAnsi="Calibri" w:cs="Calibri"/>
          <w:sz w:val="22"/>
          <w:szCs w:val="22"/>
        </w:rPr>
        <w:t xml:space="preserve">, że realizacja zamówienia odbywać się będzie bez wyrządzania poważnych szkód (jest zgodna z zasadą DNSH „do no </w:t>
      </w:r>
      <w:proofErr w:type="spellStart"/>
      <w:r>
        <w:rPr>
          <w:rFonts w:ascii="Calibri" w:hAnsi="Calibri" w:cs="Calibri"/>
          <w:sz w:val="22"/>
          <w:szCs w:val="22"/>
        </w:rPr>
        <w:t>significant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harm</w:t>
      </w:r>
      <w:proofErr w:type="spellEnd"/>
      <w:r>
        <w:rPr>
          <w:rFonts w:ascii="Calibri" w:hAnsi="Calibri" w:cs="Calibri"/>
          <w:sz w:val="22"/>
          <w:szCs w:val="22"/>
        </w:rPr>
        <w:t xml:space="preserve">”, czyli „nie czyń poważnych szkód”) dla żadnego z celów środowiskowych określonych w art. 9 zgodnie z art. 17 rozporządzenia Parlamentu Europejskiego i Rady (UE) 2020/852 z dnia 18 czerwca 2020 r. w sprawie ustanowienia ram ułatwiających zrównoważone inwestycje, zmieniające rozporządzenie (UE) 2019/2088.      </w:t>
      </w:r>
    </w:p>
    <w:p w14:paraId="1BA83270" w14:textId="77777777" w:rsidR="009C3B86" w:rsidRDefault="009C3B86" w:rsidP="009C3B86">
      <w:pPr>
        <w:pStyle w:val="xxmsonormal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Potwierdzeniem zachowania zasady DNSH, jest fakt, że realizacja zamówienia, z uwzględnieniem cyklu życia produktów dostarczanych i świadczonych usług (szczególnie z uwzględnieniem wytwarzania, użytkowania i zakończenia cyklu życia tych produktów i usług) - nie wyrządza poważnych szkód:</w:t>
      </w:r>
    </w:p>
    <w:p w14:paraId="1EA3B0BB" w14:textId="77777777" w:rsidR="009C3B86" w:rsidRDefault="009C3B86" w:rsidP="009C3B86">
      <w:pPr>
        <w:pStyle w:val="xxmsonormal"/>
        <w:numPr>
          <w:ilvl w:val="0"/>
          <w:numId w:val="6"/>
        </w:numPr>
        <w:spacing w:before="0" w:beforeAutospacing="0" w:after="0" w:afterAutospacing="0"/>
        <w:ind w:left="426" w:hanging="42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łagodzeniu zmian klimatu, ponieważ nie prowadzi do znaczących emisji gazów cieplarnianych; </w:t>
      </w:r>
    </w:p>
    <w:p w14:paraId="08BFB8B3" w14:textId="77777777" w:rsidR="009C3B86" w:rsidRDefault="009C3B86" w:rsidP="009C3B86">
      <w:pPr>
        <w:pStyle w:val="xxmsonormal"/>
        <w:numPr>
          <w:ilvl w:val="0"/>
          <w:numId w:val="6"/>
        </w:numPr>
        <w:spacing w:before="0" w:beforeAutospacing="0" w:after="0" w:afterAutospacing="0"/>
        <w:ind w:left="426" w:hanging="42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adaptacji do zmian klimatu, ponieważ nie prowadzi do nasilenia niekorzystnych skutków obecnych i oczekiwanych, przyszłych warunków klimatycznych, wywieranych na tę działalność lub na ludzi, przyrodę lub aktywa;</w:t>
      </w:r>
    </w:p>
    <w:p w14:paraId="3E1D586F" w14:textId="77777777" w:rsidR="009C3B86" w:rsidRDefault="009C3B86" w:rsidP="009C3B86">
      <w:pPr>
        <w:pStyle w:val="xxmsonormal"/>
        <w:numPr>
          <w:ilvl w:val="0"/>
          <w:numId w:val="6"/>
        </w:numPr>
        <w:spacing w:before="0" w:beforeAutospacing="0" w:after="0" w:afterAutospacing="0"/>
        <w:ind w:left="426" w:hanging="426"/>
        <w:jc w:val="both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zrównoważonemu wykorzystywaniu i ochronie zasobów wodnych i morskich, ponieważ nie szkodzi: dobremu stanowi lub dobremu  potencjałowi ekologicznemu jednolitych części wód, </w:t>
      </w:r>
      <w:r>
        <w:rPr>
          <w:rFonts w:ascii="Calibri" w:hAnsi="Calibri" w:cs="Calibri"/>
          <w:sz w:val="22"/>
          <w:szCs w:val="22"/>
        </w:rPr>
        <w:br/>
        <w:t>w tym wód powierzchniowych i wód podziemnych; lub dobremu stanowi środowiska wód morskich;</w:t>
      </w:r>
    </w:p>
    <w:p w14:paraId="06D67704" w14:textId="77777777" w:rsidR="009C3B86" w:rsidRDefault="009C3B86" w:rsidP="009C3B86">
      <w:pPr>
        <w:pStyle w:val="xxmsonormal"/>
        <w:numPr>
          <w:ilvl w:val="0"/>
          <w:numId w:val="6"/>
        </w:numPr>
        <w:spacing w:before="0" w:beforeAutospacing="0" w:after="0" w:afterAutospacing="0"/>
        <w:ind w:left="426" w:hanging="42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gospodarce o obiegu zamkniętym, w tym zapobieganiu powstawaniu odpadów i recyklingowi, ponieważ: działalność ta nie prowadzi do znaczącego braku efektywności w wykorzystywaniu materiałów lub w bezpośrednim lub pośrednim wykorzystywaniu zasobów naturalnych, takich jak nieodnawialne źródła energii, surowce, woda i grunty, na co najmniej jednym z etapów cyklu życia produktów, w tym pod względem trwałości  produktów, a także możliwości ich naprawy, ulepszenia, ponownego użycia lub recyklingu; działalność ta nie prowadzi do znacznego zwiększenia wytwarzania, spalania lub unieszkodliwiania odpadów, z wyjątkiem spalania odpadów  niebezpiecznych nienadających się do recyklingu; lub długotrwałe składowanie odpadów nie wyrządza poważnych i długoterminowych szkód dla środowiska;</w:t>
      </w:r>
    </w:p>
    <w:p w14:paraId="6CA07C03" w14:textId="77777777" w:rsidR="009C3B86" w:rsidRDefault="009C3B86" w:rsidP="009C3B86">
      <w:pPr>
        <w:pStyle w:val="xxmsonormal"/>
        <w:numPr>
          <w:ilvl w:val="0"/>
          <w:numId w:val="6"/>
        </w:numPr>
        <w:spacing w:before="0" w:beforeAutospacing="0" w:after="0" w:afterAutospacing="0"/>
        <w:ind w:left="426" w:hanging="426"/>
        <w:jc w:val="both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zapobieganiu zanieczyszczeniu i jego kontroli, ponieważ działalność ta nie prowadzi do znaczącego wzrostu emisji zanieczyszczeń do powietrza, wody lub ziemi w porównaniu z sytuacją sprzed rozpoczęcia tej działalności;</w:t>
      </w:r>
    </w:p>
    <w:p w14:paraId="63C27BB2" w14:textId="77777777" w:rsidR="009C3B86" w:rsidRDefault="009C3B86" w:rsidP="009C3B86">
      <w:pPr>
        <w:pStyle w:val="xxmsonormal"/>
        <w:numPr>
          <w:ilvl w:val="0"/>
          <w:numId w:val="6"/>
        </w:numPr>
        <w:spacing w:before="0" w:beforeAutospacing="0" w:after="0" w:afterAutospacing="0"/>
        <w:ind w:left="426" w:hanging="42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ochronie i odbudowie bioróżnorodności i ekosystemów, ponieważ działalność ta: w znacznym stopniu nie szkodzi dobremu stanowi i odporności ekosystemów; lub nie jest szkodliwa dla stanu zachowania siedlisk i gatunków, w tym siedlisk i gatunków objętych zakresem zainteresowania Unii.</w:t>
      </w:r>
    </w:p>
    <w:p w14:paraId="37103834" w14:textId="09A68DAF" w:rsidR="009C3B86" w:rsidRDefault="009C3B86" w:rsidP="009C3B86">
      <w:pPr>
        <w:jc w:val="right"/>
        <w:rPr>
          <w:rFonts w:ascii="Calibri" w:hAnsi="Calibri" w:cs="Calibri"/>
        </w:rPr>
      </w:pPr>
    </w:p>
    <w:p w14:paraId="55962B25" w14:textId="7D020999" w:rsidR="009C3B86" w:rsidRDefault="009C3B86" w:rsidP="009C3B86">
      <w:pPr>
        <w:jc w:val="right"/>
        <w:rPr>
          <w:rFonts w:ascii="Calibri" w:hAnsi="Calibri" w:cs="Calibri"/>
        </w:rPr>
      </w:pPr>
    </w:p>
    <w:p w14:paraId="523726A5" w14:textId="77777777" w:rsidR="009C3B86" w:rsidRDefault="009C3B86" w:rsidP="009C3B86">
      <w:pPr>
        <w:jc w:val="right"/>
        <w:rPr>
          <w:rFonts w:ascii="Calibri" w:hAnsi="Calibri" w:cs="Calibri"/>
        </w:rPr>
      </w:pPr>
    </w:p>
    <w:p w14:paraId="0448E2E2" w14:textId="77777777" w:rsidR="009C3B86" w:rsidRDefault="009C3B86" w:rsidP="009C3B86">
      <w:pPr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……………………………………….</w:t>
      </w:r>
    </w:p>
    <w:p w14:paraId="7B34B038" w14:textId="77777777" w:rsidR="009C3B86" w:rsidRDefault="009C3B86" w:rsidP="009C3B86">
      <w:pPr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Podpis</w:t>
      </w:r>
    </w:p>
    <w:p w14:paraId="2F59566C" w14:textId="77777777" w:rsidR="009C3B86" w:rsidRDefault="009C3B86" w:rsidP="009C3B86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Wraz z oświadczeniem należy złożyć dokumenty potwierdzające zgodność z zasadami DNSH:</w:t>
      </w:r>
    </w:p>
    <w:p w14:paraId="11552D4D" w14:textId="77777777" w:rsidR="009C3B86" w:rsidRDefault="009C3B86" w:rsidP="009C3B86">
      <w:pPr>
        <w:pStyle w:val="Akapitzlist"/>
        <w:numPr>
          <w:ilvl w:val="0"/>
          <w:numId w:val="7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Deklarację zgodności UE (CE) – jeżeli dotyczy .</w:t>
      </w:r>
    </w:p>
    <w:p w14:paraId="0BB7A211" w14:textId="77777777" w:rsidR="009C3B86" w:rsidRDefault="009C3B86" w:rsidP="009C3B86">
      <w:pPr>
        <w:pStyle w:val="Akapitzlist"/>
        <w:numPr>
          <w:ilvl w:val="0"/>
          <w:numId w:val="7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Karty techniczne / specyfikację urządzenia/systemu.</w:t>
      </w:r>
    </w:p>
    <w:p w14:paraId="1ED11768" w14:textId="77777777" w:rsidR="009C3B86" w:rsidRDefault="009C3B86" w:rsidP="009C3B86">
      <w:pPr>
        <w:pStyle w:val="Akapitzlist"/>
        <w:numPr>
          <w:ilvl w:val="0"/>
          <w:numId w:val="7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Deklarację zgodności z </w:t>
      </w:r>
      <w:proofErr w:type="spellStart"/>
      <w:r>
        <w:rPr>
          <w:rFonts w:asciiTheme="minorHAnsi" w:hAnsiTheme="minorHAnsi" w:cstheme="minorHAnsi"/>
        </w:rPr>
        <w:t>RoHS</w:t>
      </w:r>
      <w:proofErr w:type="spellEnd"/>
      <w:r>
        <w:rPr>
          <w:rFonts w:asciiTheme="minorHAnsi" w:hAnsiTheme="minorHAnsi" w:cstheme="minorHAnsi"/>
        </w:rPr>
        <w:t xml:space="preserve"> i WEEE – jeżeli dotyczy.</w:t>
      </w:r>
    </w:p>
    <w:p w14:paraId="567BB138" w14:textId="77777777" w:rsidR="009C3B86" w:rsidRDefault="009C3B86" w:rsidP="009C3B86">
      <w:pPr>
        <w:pStyle w:val="Akapitzlist"/>
        <w:numPr>
          <w:ilvl w:val="0"/>
          <w:numId w:val="7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Dokumenty dotyczące efektywności energetycznej (np. etykieta lub karta energetyczna)- jeżeli dotyczy.</w:t>
      </w:r>
    </w:p>
    <w:p w14:paraId="624A9346" w14:textId="77777777" w:rsidR="009C3B86" w:rsidRDefault="009C3B86" w:rsidP="009C3B86">
      <w:pPr>
        <w:pStyle w:val="Akapitzlist"/>
        <w:numPr>
          <w:ilvl w:val="0"/>
          <w:numId w:val="7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Dokumenty środowiskowe produktu (np. EPD lub równoważne) – jeżeli dotyczy.</w:t>
      </w:r>
    </w:p>
    <w:sectPr w:rsidR="009C3B86" w:rsidSect="00B52364">
      <w:headerReference w:type="default" r:id="rId7"/>
      <w:footerReference w:type="default" r:id="rId8"/>
      <w:pgSz w:w="11906" w:h="16838"/>
      <w:pgMar w:top="1417" w:right="1417" w:bottom="1276" w:left="1417" w:header="708" w:footer="3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A8C23" w14:textId="77777777" w:rsidR="00507DDD" w:rsidRDefault="00507DDD" w:rsidP="00F4364D">
      <w:r>
        <w:separator/>
      </w:r>
    </w:p>
  </w:endnote>
  <w:endnote w:type="continuationSeparator" w:id="0">
    <w:p w14:paraId="78ABE9BE" w14:textId="77777777" w:rsidR="00507DDD" w:rsidRDefault="00507DDD" w:rsidP="00F43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85E24" w14:textId="77777777" w:rsidR="00CA1131" w:rsidRPr="00F5259D" w:rsidRDefault="00CA1131" w:rsidP="00B52364">
    <w:pPr>
      <w:pStyle w:val="NormalnyWeb"/>
      <w:pBdr>
        <w:top w:val="single" w:sz="4" w:space="1" w:color="auto"/>
      </w:pBdr>
      <w:spacing w:before="0" w:beforeAutospacing="0" w:after="0" w:afterAutospacing="0"/>
      <w:ind w:left="147" w:right="147"/>
      <w:jc w:val="center"/>
      <w:rPr>
        <w:sz w:val="16"/>
        <w:szCs w:val="16"/>
      </w:rPr>
    </w:pPr>
    <w:r w:rsidRPr="00F5259D">
      <w:rPr>
        <w:sz w:val="16"/>
        <w:szCs w:val="16"/>
      </w:rPr>
      <w:t xml:space="preserve">Zamówienie realizowane jest w ramach projektu </w:t>
    </w:r>
    <w:r w:rsidRPr="00F5259D">
      <w:rPr>
        <w:rStyle w:val="object"/>
        <w:sz w:val="16"/>
        <w:szCs w:val="16"/>
      </w:rPr>
      <w:t>pn</w:t>
    </w:r>
    <w:r w:rsidRPr="00F5259D">
      <w:rPr>
        <w:sz w:val="16"/>
        <w:szCs w:val="16"/>
      </w:rPr>
      <w:t>.:</w:t>
    </w:r>
    <w:r w:rsidRPr="00F5259D">
      <w:rPr>
        <w:sz w:val="16"/>
        <w:szCs w:val="16"/>
      </w:rPr>
      <w:br/>
    </w:r>
    <w:r w:rsidRPr="00F5259D">
      <w:rPr>
        <w:rStyle w:val="Pogrubienie"/>
        <w:sz w:val="16"/>
        <w:szCs w:val="16"/>
      </w:rPr>
      <w:t>„Modernizacja i doposażenie bazy dydaktycznej pod potrzeby centrum nauk przedklinicznych Uniwersytetu Zielonogórskiego”</w:t>
    </w:r>
    <w:r w:rsidRPr="00F5259D">
      <w:rPr>
        <w:sz w:val="16"/>
        <w:szCs w:val="16"/>
      </w:rPr>
      <w:t xml:space="preserve">, Umowa nr </w:t>
    </w:r>
    <w:r w:rsidRPr="00F5259D">
      <w:rPr>
        <w:b/>
        <w:sz w:val="16"/>
        <w:szCs w:val="16"/>
      </w:rPr>
      <w:t>KPOD.07.05-IP.10-0005/25/KPO/2157/2025/222</w:t>
    </w:r>
    <w:r w:rsidRPr="00F5259D">
      <w:rPr>
        <w:sz w:val="16"/>
        <w:szCs w:val="16"/>
      </w:rPr>
      <w:t xml:space="preserve">, współfinansowanego ze środków </w:t>
    </w:r>
    <w:r w:rsidRPr="00F5259D">
      <w:rPr>
        <w:rStyle w:val="Pogrubienie"/>
        <w:sz w:val="16"/>
        <w:szCs w:val="16"/>
      </w:rPr>
      <w:t xml:space="preserve">Krajowego Planu Odbudowy i Zwiększania Odporności (KPO), komponentu D „Efektywność, dostępność i jakość systemu ochrony zdrowia” </w:t>
    </w:r>
    <w:r w:rsidRPr="00F5259D">
      <w:rPr>
        <w:sz w:val="16"/>
        <w:szCs w:val="16"/>
      </w:rPr>
      <w:t xml:space="preserve">w ramach inwestycji </w:t>
    </w:r>
    <w:r w:rsidRPr="00F5259D">
      <w:rPr>
        <w:rStyle w:val="Pogrubienie"/>
        <w:sz w:val="16"/>
        <w:szCs w:val="16"/>
      </w:rPr>
      <w:t>D2.1.1 – Inwestycje związane z</w:t>
    </w:r>
    <w:r>
      <w:rPr>
        <w:rStyle w:val="Pogrubienie"/>
        <w:sz w:val="16"/>
        <w:szCs w:val="16"/>
      </w:rPr>
      <w:t> </w:t>
    </w:r>
    <w:r w:rsidRPr="00F5259D">
      <w:rPr>
        <w:rStyle w:val="Pogrubienie"/>
        <w:sz w:val="16"/>
        <w:szCs w:val="16"/>
      </w:rPr>
      <w:t>modernizacją i doposażeniem obiektów dydaktycznych w związku ze zwiększeniem limitów przyjęć na studia medyczne</w:t>
    </w:r>
    <w:r w:rsidRPr="00F5259D">
      <w:rPr>
        <w:sz w:val="16"/>
        <w:szCs w:val="16"/>
      </w:rPr>
      <w:t>.</w:t>
    </w:r>
  </w:p>
  <w:p w14:paraId="2C6085E3" w14:textId="77777777" w:rsidR="00CA1131" w:rsidRPr="00CA1131" w:rsidRDefault="00CA1131" w:rsidP="00B52364">
    <w:pPr>
      <w:pStyle w:val="NormalnyWeb"/>
      <w:spacing w:before="0" w:beforeAutospacing="0" w:after="0" w:afterAutospacing="0"/>
      <w:ind w:right="147"/>
      <w:jc w:val="center"/>
      <w:rPr>
        <w:sz w:val="16"/>
        <w:szCs w:val="16"/>
      </w:rPr>
    </w:pPr>
    <w:r w:rsidRPr="00F5259D">
      <w:rPr>
        <w:sz w:val="16"/>
        <w:szCs w:val="16"/>
      </w:rPr>
      <w:t xml:space="preserve">Celem zamówienia jest realizacja działań przyczyniających się do osiągnięcia wskaźnika </w:t>
    </w:r>
    <w:r w:rsidRPr="00F5259D">
      <w:rPr>
        <w:rStyle w:val="Pogrubienie"/>
        <w:sz w:val="16"/>
        <w:szCs w:val="16"/>
      </w:rPr>
      <w:t>D31G.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1AAB9" w14:textId="77777777" w:rsidR="00507DDD" w:rsidRDefault="00507DDD" w:rsidP="00F4364D">
      <w:r>
        <w:separator/>
      </w:r>
    </w:p>
  </w:footnote>
  <w:footnote w:type="continuationSeparator" w:id="0">
    <w:p w14:paraId="2FC5FA60" w14:textId="77777777" w:rsidR="00507DDD" w:rsidRDefault="00507DDD" w:rsidP="00F436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A5CD7" w14:textId="199103FE" w:rsidR="00864F96" w:rsidRDefault="00864F96" w:rsidP="00864F96">
    <w:pPr>
      <w:jc w:val="center"/>
    </w:pPr>
    <w:r w:rsidRPr="0048005C">
      <w:rPr>
        <w:rFonts w:ascii="Calibri" w:eastAsia="Calibri" w:hAnsi="Calibri"/>
        <w:noProof/>
      </w:rPr>
      <w:drawing>
        <wp:inline distT="0" distB="0" distL="0" distR="0" wp14:anchorId="65138CB8" wp14:editId="0731B8F3">
          <wp:extent cx="5760720" cy="570865"/>
          <wp:effectExtent l="0" t="0" r="0" b="635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0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1"/>
      <w:gridCol w:w="4536"/>
    </w:tblGrid>
    <w:tr w:rsidR="00864F96" w:rsidRPr="00864F96" w14:paraId="083D0F72" w14:textId="77777777" w:rsidTr="0040518C">
      <w:tc>
        <w:tcPr>
          <w:tcW w:w="4461" w:type="dxa"/>
        </w:tcPr>
        <w:p w14:paraId="106DEB0F" w14:textId="40B29640" w:rsidR="00864F96" w:rsidRPr="00864F96" w:rsidRDefault="00864F96" w:rsidP="00864F96">
          <w:pPr>
            <w:pStyle w:val="Nagwek"/>
            <w:tabs>
              <w:tab w:val="clear" w:pos="4536"/>
              <w:tab w:val="clear" w:pos="9072"/>
            </w:tabs>
            <w:rPr>
              <w:rFonts w:ascii="Times New Roman" w:hAnsi="Times New Roman"/>
              <w:b/>
              <w:color w:val="0000FF"/>
            </w:rPr>
          </w:pPr>
          <w:r w:rsidRPr="00864F96">
            <w:rPr>
              <w:rFonts w:ascii="Times New Roman" w:hAnsi="Times New Roman"/>
            </w:rPr>
            <w:t xml:space="preserve">Znak sprawy: </w:t>
          </w:r>
          <w:r w:rsidRPr="00864F96">
            <w:rPr>
              <w:rFonts w:ascii="Times New Roman" w:hAnsi="Times New Roman"/>
              <w:b/>
              <w:color w:val="0000FF"/>
            </w:rPr>
            <w:t>RA-ZA.2610.1</w:t>
          </w:r>
          <w:r w:rsidR="00AA0E78">
            <w:rPr>
              <w:rFonts w:ascii="Times New Roman" w:hAnsi="Times New Roman"/>
              <w:b/>
              <w:color w:val="0000FF"/>
            </w:rPr>
            <w:t>5</w:t>
          </w:r>
          <w:r w:rsidRPr="00864F96">
            <w:rPr>
              <w:rFonts w:ascii="Times New Roman" w:hAnsi="Times New Roman"/>
              <w:b/>
              <w:color w:val="0000FF"/>
            </w:rPr>
            <w:t>.2026.MW</w:t>
          </w:r>
        </w:p>
      </w:tc>
      <w:tc>
        <w:tcPr>
          <w:tcW w:w="4536" w:type="dxa"/>
        </w:tcPr>
        <w:p w14:paraId="63DF4A95" w14:textId="70548158" w:rsidR="00864F96" w:rsidRPr="00864F96" w:rsidRDefault="00B95C43" w:rsidP="00864F96">
          <w:pPr>
            <w:pStyle w:val="Nagwek"/>
            <w:tabs>
              <w:tab w:val="clear" w:pos="4536"/>
              <w:tab w:val="clear" w:pos="9072"/>
            </w:tabs>
            <w:jc w:val="right"/>
          </w:pPr>
          <w:r>
            <w:rPr>
              <w:rFonts w:ascii="Times New Roman" w:hAnsi="Times New Roman"/>
              <w:b/>
              <w:color w:val="0000FF"/>
            </w:rPr>
            <w:t>Załącznik nr 7 do SWZ</w:t>
          </w:r>
        </w:p>
      </w:tc>
    </w:tr>
  </w:tbl>
  <w:p w14:paraId="13C262F3" w14:textId="37842F33" w:rsidR="00F4364D" w:rsidRPr="00864F96" w:rsidRDefault="00F4364D" w:rsidP="00864F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82D92"/>
    <w:multiLevelType w:val="hybridMultilevel"/>
    <w:tmpl w:val="47AA99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075725"/>
    <w:multiLevelType w:val="hybridMultilevel"/>
    <w:tmpl w:val="DB0CDC10"/>
    <w:lvl w:ilvl="0" w:tplc="44CA54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244548"/>
    <w:multiLevelType w:val="multilevel"/>
    <w:tmpl w:val="320AF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F0321FB"/>
    <w:multiLevelType w:val="hybridMultilevel"/>
    <w:tmpl w:val="9DE60A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FC5664"/>
    <w:multiLevelType w:val="hybridMultilevel"/>
    <w:tmpl w:val="137850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40C"/>
    <w:rsid w:val="00055975"/>
    <w:rsid w:val="002A7FC2"/>
    <w:rsid w:val="003831F6"/>
    <w:rsid w:val="0040518C"/>
    <w:rsid w:val="00490D64"/>
    <w:rsid w:val="004C59D1"/>
    <w:rsid w:val="004E249A"/>
    <w:rsid w:val="004E7A6E"/>
    <w:rsid w:val="00507DDD"/>
    <w:rsid w:val="005A298B"/>
    <w:rsid w:val="005A640C"/>
    <w:rsid w:val="005B7DF4"/>
    <w:rsid w:val="005C4087"/>
    <w:rsid w:val="00675919"/>
    <w:rsid w:val="007A2620"/>
    <w:rsid w:val="0082536F"/>
    <w:rsid w:val="00864F96"/>
    <w:rsid w:val="009255FF"/>
    <w:rsid w:val="009C3B86"/>
    <w:rsid w:val="00AA0E78"/>
    <w:rsid w:val="00B52364"/>
    <w:rsid w:val="00B6061A"/>
    <w:rsid w:val="00B95C43"/>
    <w:rsid w:val="00C5755A"/>
    <w:rsid w:val="00C77D54"/>
    <w:rsid w:val="00CA1131"/>
    <w:rsid w:val="00CE2D3A"/>
    <w:rsid w:val="00D82BF0"/>
    <w:rsid w:val="00D91CF9"/>
    <w:rsid w:val="00DF0AC9"/>
    <w:rsid w:val="00E666B2"/>
    <w:rsid w:val="00E72BE8"/>
    <w:rsid w:val="00EA55B2"/>
    <w:rsid w:val="00EB6ABC"/>
    <w:rsid w:val="00F4364D"/>
    <w:rsid w:val="00F71BDD"/>
    <w:rsid w:val="00FB3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9635A10"/>
  <w15:chartTrackingRefBased/>
  <w15:docId w15:val="{B6D5BCC2-6AE1-4075-A0B5-C56796523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5A640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xxmsonormal">
    <w:name w:val="x_x_msonormal"/>
    <w:basedOn w:val="Normalny"/>
    <w:uiPriority w:val="99"/>
    <w:rsid w:val="005A640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A640C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5A640C"/>
    <w:rPr>
      <w:b/>
      <w:bCs/>
    </w:rPr>
  </w:style>
  <w:style w:type="paragraph" w:styleId="NormalnyWeb">
    <w:name w:val="Normal (Web)"/>
    <w:basedOn w:val="Normalny"/>
    <w:uiPriority w:val="99"/>
    <w:unhideWhenUsed/>
    <w:rsid w:val="00E666B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F436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364D"/>
    <w:rPr>
      <w:rFonts w:ascii="Arial" w:eastAsia="Arial" w:hAnsi="Arial" w:cs="Arial"/>
    </w:rPr>
  </w:style>
  <w:style w:type="paragraph" w:styleId="Stopka">
    <w:name w:val="footer"/>
    <w:basedOn w:val="Normalny"/>
    <w:link w:val="StopkaZnak"/>
    <w:uiPriority w:val="99"/>
    <w:unhideWhenUsed/>
    <w:rsid w:val="00F436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4364D"/>
    <w:rPr>
      <w:rFonts w:ascii="Arial" w:eastAsia="Arial" w:hAnsi="Arial" w:cs="Arial"/>
    </w:rPr>
  </w:style>
  <w:style w:type="character" w:customStyle="1" w:styleId="object">
    <w:name w:val="object"/>
    <w:rsid w:val="00CA1131"/>
  </w:style>
  <w:style w:type="table" w:styleId="Tabela-Siatka">
    <w:name w:val="Table Grid"/>
    <w:basedOn w:val="Standardowy"/>
    <w:uiPriority w:val="39"/>
    <w:rsid w:val="00864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59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442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Lewandowska</dc:creator>
  <cp:keywords/>
  <dc:description/>
  <cp:lastModifiedBy>Mariusz Więckowski</cp:lastModifiedBy>
  <cp:revision>3</cp:revision>
  <dcterms:created xsi:type="dcterms:W3CDTF">2026-04-12T07:50:00Z</dcterms:created>
  <dcterms:modified xsi:type="dcterms:W3CDTF">2026-04-13T07:55:00Z</dcterms:modified>
</cp:coreProperties>
</file>